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tbl>
      <w:tblPr>
        <w:tblStyle w:val="763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О законе Алтайского края «О краевом бюджете на </w:t>
            </w:r>
            <w:r>
              <w:rPr>
                <w:rFonts w:ascii="PT Astra Serif" w:hAnsi="PT Astra Serif"/>
                <w:szCs w:val="28"/>
              </w:rPr>
              <w:t xml:space="preserve">202</w:t>
            </w:r>
            <w:r>
              <w:rPr>
                <w:rFonts w:ascii="PT Astra Serif" w:hAnsi="PT Astra Serif"/>
                <w:szCs w:val="28"/>
              </w:rPr>
              <w:t xml:space="preserve">5</w:t>
            </w:r>
            <w:r>
              <w:rPr>
                <w:rFonts w:ascii="PT Astra Serif" w:hAnsi="PT Astra Serif"/>
                <w:szCs w:val="28"/>
              </w:rPr>
              <w:t xml:space="preserve"> год и на плановый период </w:t>
            </w:r>
            <w:r>
              <w:rPr>
                <w:rFonts w:ascii="PT Astra Serif" w:hAnsi="PT Astra Serif"/>
                <w:szCs w:val="28"/>
              </w:rPr>
              <w:t xml:space="preserve">202</w:t>
            </w:r>
            <w:r>
              <w:rPr>
                <w:rFonts w:ascii="PT Astra Serif" w:hAnsi="PT Astra Serif"/>
                <w:szCs w:val="28"/>
              </w:rPr>
              <w:t xml:space="preserve">6</w:t>
            </w:r>
            <w:r>
              <w:rPr>
                <w:rFonts w:ascii="PT Astra Serif" w:hAnsi="PT Astra Serif"/>
                <w:szCs w:val="28"/>
              </w:rPr>
              <w:t xml:space="preserve"> и </w:t>
            </w:r>
            <w:r>
              <w:rPr>
                <w:rFonts w:ascii="PT Astra Serif" w:hAnsi="PT Astra Serif"/>
                <w:szCs w:val="28"/>
              </w:rPr>
              <w:t xml:space="preserve">2027</w:t>
            </w:r>
            <w:r>
              <w:rPr>
                <w:rFonts w:ascii="PT Astra Serif" w:hAnsi="PT Astra Serif"/>
                <w:szCs w:val="28"/>
              </w:rPr>
              <w:t xml:space="preserve"> годов»</w:t>
            </w: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Проект</w:t>
            </w:r>
            <w:r>
              <w:rPr>
                <w:rFonts w:ascii="PT Astra Serif" w:hAnsi="PT Astra Serif"/>
                <w:szCs w:val="28"/>
              </w:rPr>
            </w:r>
          </w:p>
        </w:tc>
      </w:tr>
    </w:tbl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772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772"/>
        <w:ind w:firstLine="72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</w:r>
      <w:r>
        <w:rPr>
          <w:rFonts w:ascii="PT Astra Serif" w:hAnsi="PT Astra Serif" w:cs="Times New Roman"/>
          <w:b/>
          <w:bCs/>
          <w:sz w:val="28"/>
          <w:szCs w:val="28"/>
        </w:rPr>
      </w:r>
    </w:p>
    <w:p>
      <w:pPr>
        <w:pStyle w:val="774"/>
        <w:numPr>
          <w:ilvl w:val="0"/>
          <w:numId w:val="1"/>
        </w:numPr>
        <w:ind w:left="0"/>
        <w:jc w:val="both"/>
        <w:spacing w:after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Принять закон Алтайского края «О краевом бюджете на </w:t>
      </w:r>
      <w:r>
        <w:rPr>
          <w:rFonts w:ascii="PT Astra Serif" w:hAnsi="PT Astra Serif"/>
          <w:szCs w:val="28"/>
        </w:rPr>
        <w:t xml:space="preserve">202</w:t>
      </w:r>
      <w:r>
        <w:rPr>
          <w:rFonts w:ascii="PT Astra Serif" w:hAnsi="PT Astra Serif"/>
          <w:szCs w:val="28"/>
        </w:rPr>
        <w:t xml:space="preserve">5</w:t>
      </w:r>
      <w:r>
        <w:rPr>
          <w:rFonts w:ascii="PT Astra Serif" w:hAnsi="PT Astra Serif"/>
          <w:szCs w:val="28"/>
        </w:rPr>
        <w:t xml:space="preserve"> год и на плановый период </w:t>
      </w:r>
      <w:r>
        <w:rPr>
          <w:rFonts w:ascii="PT Astra Serif" w:hAnsi="PT Astra Serif"/>
          <w:szCs w:val="28"/>
        </w:rPr>
        <w:t xml:space="preserve">202</w:t>
      </w:r>
      <w:r>
        <w:rPr>
          <w:rFonts w:ascii="PT Astra Serif" w:hAnsi="PT Astra Serif"/>
          <w:szCs w:val="28"/>
        </w:rPr>
        <w:t xml:space="preserve">6</w:t>
      </w:r>
      <w:r>
        <w:rPr>
          <w:rFonts w:ascii="PT Astra Serif" w:hAnsi="PT Astra Serif"/>
          <w:szCs w:val="28"/>
        </w:rPr>
        <w:t xml:space="preserve"> и </w:t>
      </w:r>
      <w:r>
        <w:rPr>
          <w:rFonts w:ascii="PT Astra Serif" w:hAnsi="PT Astra Serif"/>
          <w:szCs w:val="28"/>
        </w:rPr>
        <w:t xml:space="preserve">202</w:t>
      </w:r>
      <w:r>
        <w:rPr>
          <w:rFonts w:ascii="PT Astra Serif" w:hAnsi="PT Astra Serif"/>
          <w:szCs w:val="28"/>
        </w:rPr>
        <w:t xml:space="preserve">7</w:t>
      </w:r>
      <w:r>
        <w:rPr>
          <w:rFonts w:ascii="PT Astra Serif" w:hAnsi="PT Astra Serif"/>
          <w:szCs w:val="28"/>
        </w:rPr>
        <w:t xml:space="preserve"> годов».</w:t>
      </w:r>
      <w:r>
        <w:rPr>
          <w:rFonts w:ascii="PT Astra Serif" w:hAnsi="PT Astra Serif"/>
          <w:szCs w:val="28"/>
        </w:rPr>
      </w:r>
    </w:p>
    <w:p>
      <w:pPr>
        <w:pStyle w:val="774"/>
        <w:numPr>
          <w:ilvl w:val="0"/>
          <w:numId w:val="1"/>
        </w:numPr>
        <w:ind w:left="0"/>
        <w:jc w:val="both"/>
        <w:spacing w:after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Направить указанный Закон Губернатору Алтайского края для подписания и обнародования в установленном порядке.</w:t>
      </w:r>
      <w:r>
        <w:rPr>
          <w:rFonts w:ascii="PT Astra Serif" w:hAnsi="PT Astra Serif"/>
          <w:szCs w:val="28"/>
        </w:rPr>
      </w:r>
    </w:p>
    <w:p>
      <w:pPr>
        <w:pStyle w:val="774"/>
        <w:numPr>
          <w:ilvl w:val="0"/>
          <w:numId w:val="1"/>
        </w:numPr>
        <w:ind w:left="0"/>
        <w:jc w:val="both"/>
        <w:spacing w:after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Счетной палате Алтайского края обеспечить контроль за эффективн</w:t>
      </w:r>
      <w:r>
        <w:rPr>
          <w:rFonts w:ascii="PT Astra Serif" w:hAnsi="PT Astra Serif"/>
          <w:szCs w:val="28"/>
        </w:rPr>
        <w:t xml:space="preserve">остью</w:t>
      </w:r>
      <w:r>
        <w:rPr>
          <w:rFonts w:ascii="PT Astra Serif" w:hAnsi="PT Astra Serif"/>
          <w:szCs w:val="28"/>
        </w:rPr>
        <w:t xml:space="preserve"> использовани</w:t>
      </w:r>
      <w:r>
        <w:rPr>
          <w:rFonts w:ascii="PT Astra Serif" w:hAnsi="PT Astra Serif"/>
          <w:szCs w:val="28"/>
        </w:rPr>
        <w:t xml:space="preserve">я</w:t>
      </w:r>
      <w:r>
        <w:rPr>
          <w:rFonts w:ascii="PT Astra Serif" w:hAnsi="PT Astra Serif"/>
          <w:szCs w:val="28"/>
        </w:rPr>
        <w:t xml:space="preserve"> средств краевого бюджета</w:t>
      </w:r>
      <w:r>
        <w:rPr>
          <w:rFonts w:ascii="PT Astra Serif" w:hAnsi="PT Astra Serif"/>
          <w:szCs w:val="28"/>
        </w:rPr>
        <w:t xml:space="preserve">.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</w:r>
    </w:p>
    <w:p>
      <w:pPr>
        <w:pStyle w:val="774"/>
        <w:numPr>
          <w:ilvl w:val="0"/>
          <w:numId w:val="1"/>
        </w:numPr>
        <w:ind w:left="0"/>
        <w:jc w:val="both"/>
        <w:spacing w:after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Предложить Правительству Алтайского края:</w:t>
      </w:r>
      <w:r>
        <w:rPr>
          <w:rFonts w:ascii="PT Astra Serif" w:hAnsi="PT Astra Serif"/>
          <w:szCs w:val="28"/>
        </w:rPr>
      </w:r>
    </w:p>
    <w:p>
      <w:pPr>
        <w:pStyle w:val="774"/>
        <w:numPr>
          <w:ilvl w:val="1"/>
          <w:numId w:val="1"/>
        </w:numPr>
        <w:jc w:val="both"/>
        <w:spacing w:after="0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в целях мобилизации налоговых и неналоговых доходов краевого бюджета продолжить работу по росту доход</w:t>
      </w:r>
      <w:r>
        <w:rPr>
          <w:rFonts w:ascii="PT Astra Serif" w:hAnsi="PT Astra Serif"/>
          <w:color w:val="000000" w:themeColor="text1"/>
          <w:szCs w:val="28"/>
        </w:rPr>
        <w:t xml:space="preserve">ного потенциала</w:t>
      </w:r>
      <w:r>
        <w:rPr>
          <w:rFonts w:ascii="PT Astra Serif" w:hAnsi="PT Astra Serif"/>
          <w:color w:val="000000" w:themeColor="text1"/>
          <w:szCs w:val="28"/>
        </w:rPr>
        <w:t xml:space="preserve"> и оптимизации расходов консолидированного бюджета Алтайского края;</w:t>
      </w: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774"/>
        <w:numPr>
          <w:ilvl w:val="1"/>
          <w:numId w:val="1"/>
        </w:numPr>
        <w:jc w:val="both"/>
        <w:spacing w:after="0"/>
        <w:rPr>
          <w:rFonts w:ascii="PT Astra Serif" w:hAnsi="PT Astra Serif"/>
          <w:strike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продолжить работу по совершенствованию порядков предоставления субсидий юридическим лицам и отбора получателей субсидий в целях повышения эффективности и результативности и</w:t>
      </w:r>
      <w:r>
        <w:rPr>
          <w:rFonts w:ascii="PT Astra Serif" w:hAnsi="PT Astra Serif"/>
          <w:color w:val="000000" w:themeColor="text1"/>
          <w:szCs w:val="28"/>
        </w:rPr>
        <w:t xml:space="preserve">спользования бюджетных </w:t>
      </w:r>
      <w:r>
        <w:rPr>
          <w:rFonts w:ascii="PT Astra Serif" w:hAnsi="PT Astra Serif"/>
          <w:color w:val="000000" w:themeColor="text1"/>
          <w:szCs w:val="28"/>
        </w:rPr>
        <w:t xml:space="preserve">средств</w:t>
      </w:r>
      <w:r>
        <w:rPr>
          <w:rFonts w:ascii="PT Astra Serif" w:hAnsi="PT Astra Serif"/>
          <w:color w:val="000000" w:themeColor="text1"/>
          <w:szCs w:val="28"/>
        </w:rPr>
        <w:t xml:space="preserve">, включая установление правовым актом Правительства Алтайского края дополнительных требований к получателю субсидии</w:t>
      </w:r>
      <w:r>
        <w:rPr>
          <w:rFonts w:ascii="PT Astra Serif" w:hAnsi="PT Astra Serif"/>
          <w:color w:val="000000" w:themeColor="text1"/>
          <w:szCs w:val="28"/>
        </w:rPr>
        <w:t xml:space="preserve"> (участнику отбора)</w:t>
      </w:r>
      <w:r>
        <w:rPr>
          <w:rFonts w:ascii="PT Astra Serif" w:hAnsi="PT Astra Serif"/>
          <w:color w:val="000000" w:themeColor="text1"/>
          <w:szCs w:val="28"/>
        </w:rPr>
        <w:t xml:space="preserve">;</w:t>
      </w:r>
      <w:r>
        <w:rPr>
          <w:rFonts w:ascii="PT Astra Serif" w:hAnsi="PT Astra Serif"/>
          <w:color w:val="000000" w:themeColor="text1"/>
          <w:szCs w:val="28"/>
        </w:rPr>
        <w:t xml:space="preserve"> </w:t>
      </w:r>
      <w:r>
        <w:rPr>
          <w:rFonts w:ascii="PT Astra Serif" w:hAnsi="PT Astra Serif"/>
          <w:strike/>
          <w:color w:val="000000" w:themeColor="text1"/>
          <w:szCs w:val="28"/>
        </w:rPr>
      </w:r>
    </w:p>
    <w:p>
      <w:pPr>
        <w:pStyle w:val="774"/>
        <w:numPr>
          <w:ilvl w:val="1"/>
          <w:numId w:val="1"/>
        </w:numPr>
        <w:jc w:val="both"/>
        <w:spacing w:after="0"/>
        <w:widowControl w:val="off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в случае принятия федеральными органами государственной власти решений в части реализации федеральных проектов, входящих в состав национальных проектов</w:t>
      </w:r>
      <w:r>
        <w:rPr>
          <w:rFonts w:ascii="PT Astra Serif" w:hAnsi="PT Astra Serif"/>
          <w:color w:val="000000" w:themeColor="text1"/>
          <w:szCs w:val="28"/>
        </w:rPr>
        <w:t xml:space="preserve">,</w:t>
      </w:r>
      <w:r>
        <w:rPr>
          <w:rFonts w:ascii="PT Astra Serif" w:hAnsi="PT Astra Serif"/>
          <w:color w:val="000000" w:themeColor="text1"/>
          <w:szCs w:val="28"/>
        </w:rPr>
        <w:t xml:space="preserve"> </w:t>
      </w:r>
      <w:r>
        <w:rPr>
          <w:rFonts w:ascii="PT Astra Serif" w:hAnsi="PT Astra Serif"/>
          <w:color w:val="000000" w:themeColor="text1"/>
          <w:szCs w:val="28"/>
        </w:rPr>
        <w:t xml:space="preserve">оперативно принимать решени</w:t>
      </w:r>
      <w:r>
        <w:rPr>
          <w:rFonts w:ascii="PT Astra Serif" w:hAnsi="PT Astra Serif"/>
          <w:color w:val="000000" w:themeColor="text1"/>
          <w:szCs w:val="28"/>
        </w:rPr>
        <w:t xml:space="preserve">я</w:t>
      </w:r>
      <w:r>
        <w:rPr>
          <w:rFonts w:ascii="PT Astra Serif" w:hAnsi="PT Astra Serif"/>
          <w:color w:val="000000" w:themeColor="text1"/>
          <w:szCs w:val="28"/>
        </w:rPr>
        <w:t xml:space="preserve"> о </w:t>
      </w:r>
      <w:r>
        <w:rPr>
          <w:rFonts w:ascii="PT Astra Serif" w:hAnsi="PT Astra Serif"/>
          <w:color w:val="000000" w:themeColor="text1"/>
          <w:szCs w:val="28"/>
        </w:rPr>
        <w:t xml:space="preserve">перераспредел</w:t>
      </w:r>
      <w:r>
        <w:rPr>
          <w:rFonts w:ascii="PT Astra Serif" w:hAnsi="PT Astra Serif"/>
          <w:color w:val="000000" w:themeColor="text1"/>
          <w:szCs w:val="28"/>
        </w:rPr>
        <w:t xml:space="preserve">ении</w:t>
      </w:r>
      <w:r>
        <w:rPr>
          <w:rFonts w:ascii="PT Astra Serif" w:hAnsi="PT Astra Serif"/>
          <w:color w:val="000000" w:themeColor="text1"/>
          <w:szCs w:val="28"/>
        </w:rPr>
        <w:t xml:space="preserve"> бюджетны</w:t>
      </w:r>
      <w:r>
        <w:rPr>
          <w:rFonts w:ascii="PT Astra Serif" w:hAnsi="PT Astra Serif"/>
          <w:color w:val="000000" w:themeColor="text1"/>
          <w:szCs w:val="28"/>
        </w:rPr>
        <w:t xml:space="preserve">х</w:t>
      </w:r>
      <w:r>
        <w:rPr>
          <w:rFonts w:ascii="PT Astra Serif" w:hAnsi="PT Astra Serif"/>
          <w:color w:val="000000" w:themeColor="text1"/>
          <w:szCs w:val="28"/>
        </w:rPr>
        <w:t xml:space="preserve"> ассигновани</w:t>
      </w:r>
      <w:r>
        <w:rPr>
          <w:rFonts w:ascii="PT Astra Serif" w:hAnsi="PT Astra Serif"/>
          <w:color w:val="000000" w:themeColor="text1"/>
          <w:szCs w:val="28"/>
        </w:rPr>
        <w:t xml:space="preserve">й</w:t>
      </w:r>
      <w:r>
        <w:rPr>
          <w:rFonts w:ascii="PT Astra Serif" w:hAnsi="PT Astra Serif"/>
          <w:color w:val="000000" w:themeColor="text1"/>
          <w:szCs w:val="28"/>
        </w:rPr>
        <w:t xml:space="preserve"> на выполнение обязательств по финансированию мероприятий региональных проектов, входящих в состав национальных проектов;</w:t>
      </w:r>
      <w:r>
        <w:rPr>
          <w:rFonts w:ascii="PT Astra Serif" w:hAnsi="PT Astra Serif"/>
          <w:color w:val="000000" w:themeColor="text1"/>
          <w:szCs w:val="28"/>
        </w:rPr>
        <w:t xml:space="preserve"> </w:t>
      </w: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774"/>
        <w:numPr>
          <w:ilvl w:val="1"/>
          <w:numId w:val="1"/>
        </w:numPr>
        <w:jc w:val="both"/>
        <w:spacing w:after="0"/>
        <w:widowControl w:val="off"/>
        <w:rPr>
          <w:rFonts w:ascii="PT Astra Serif" w:hAnsi="PT Astra Serif"/>
          <w:strike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обеспечить завершение </w:t>
      </w:r>
      <w:r>
        <w:rPr>
          <w:rFonts w:ascii="PT Astra Serif" w:hAnsi="PT Astra Serif"/>
          <w:color w:val="000000" w:themeColor="text1"/>
          <w:szCs w:val="28"/>
        </w:rPr>
        <w:t xml:space="preserve">выполнени</w:t>
      </w:r>
      <w:r>
        <w:rPr>
          <w:rFonts w:ascii="PT Astra Serif" w:hAnsi="PT Astra Serif"/>
          <w:color w:val="000000" w:themeColor="text1"/>
          <w:szCs w:val="28"/>
        </w:rPr>
        <w:t xml:space="preserve">я в установленные сроки</w:t>
      </w:r>
      <w:r>
        <w:rPr>
          <w:rFonts w:ascii="PT Astra Serif" w:hAnsi="PT Astra Serif"/>
          <w:color w:val="000000" w:themeColor="text1"/>
          <w:szCs w:val="28"/>
        </w:rPr>
        <w:t xml:space="preserve"> мероприяти</w:t>
      </w:r>
      <w:r>
        <w:rPr>
          <w:rFonts w:ascii="PT Astra Serif" w:hAnsi="PT Astra Serif"/>
          <w:color w:val="000000" w:themeColor="text1"/>
          <w:szCs w:val="28"/>
        </w:rPr>
        <w:t xml:space="preserve">й, осуществляемых в рамках инфраструктурных проектов Алтайского края, источником финансового обеспечения которых являются бюджетные кредиты, предоставляемые из федерального бюджета бюджету субъекта Российской Федерации на финансовое обеспечение реализации </w:t>
      </w:r>
      <w:r>
        <w:rPr>
          <w:rFonts w:ascii="PT Astra Serif" w:hAnsi="PT Astra Serif"/>
          <w:color w:val="000000" w:themeColor="text1"/>
          <w:szCs w:val="28"/>
        </w:rPr>
        <w:t xml:space="preserve">инфраструктурных проектов</w:t>
      </w:r>
      <w:r>
        <w:rPr>
          <w:rFonts w:ascii="PT Astra Serif" w:hAnsi="PT Astra Serif"/>
          <w:color w:val="000000" w:themeColor="text1"/>
          <w:szCs w:val="28"/>
        </w:rPr>
        <w:t xml:space="preserve">,</w:t>
      </w:r>
      <w:r>
        <w:rPr>
          <w:rFonts w:ascii="PT Astra Serif" w:hAnsi="PT Astra Serif"/>
          <w:color w:val="000000" w:themeColor="text1"/>
          <w:szCs w:val="28"/>
        </w:rPr>
        <w:t xml:space="preserve"> с</w:t>
      </w:r>
      <w:r>
        <w:rPr>
          <w:rFonts w:ascii="PT Astra Serif" w:hAnsi="PT Astra Serif"/>
          <w:color w:val="000000" w:themeColor="text1"/>
          <w:szCs w:val="28"/>
        </w:rPr>
        <w:t xml:space="preserve">пециальные казначейские кредиты</w:t>
      </w:r>
      <w:r>
        <w:rPr>
          <w:rFonts w:ascii="PT Astra Serif" w:hAnsi="PT Astra Serif"/>
          <w:color w:val="000000" w:themeColor="text1"/>
          <w:szCs w:val="28"/>
        </w:rPr>
        <w:t xml:space="preserve">; </w:t>
      </w:r>
      <w:r>
        <w:rPr>
          <w:rFonts w:ascii="PT Astra Serif" w:hAnsi="PT Astra Serif"/>
          <w:strike/>
          <w:color w:val="000000" w:themeColor="text1"/>
          <w:szCs w:val="28"/>
        </w:rPr>
      </w:r>
    </w:p>
    <w:p>
      <w:pPr>
        <w:pStyle w:val="774"/>
        <w:numPr>
          <w:ilvl w:val="1"/>
          <w:numId w:val="1"/>
        </w:numPr>
        <w:jc w:val="both"/>
        <w:spacing w:after="0"/>
        <w:widowControl w:val="off"/>
        <w:rPr>
          <w:rFonts w:ascii="PT Astra Serif" w:hAnsi="PT Astra Serif"/>
          <w:strike/>
          <w:color w:val="000000" w:themeColor="text1"/>
          <w:szCs w:val="28"/>
        </w:rPr>
      </w:pPr>
      <w:r>
        <w:rPr>
          <w:rFonts w:ascii="PT Astra Serif" w:hAnsi="PT Astra Serif"/>
          <w:szCs w:val="28"/>
        </w:rPr>
        <w:t xml:space="preserve">обеспечить реализацию мероприятий индивидуальной программы социально-экономического развития Алтайского края на период 2025 - 2030 годов, а также целевое использование средств федерального и краевого бюджетов, предусмотренных на указанные </w:t>
      </w:r>
      <w:r>
        <w:rPr>
          <w:rFonts w:ascii="PT Astra Serif" w:hAnsi="PT Astra Serif"/>
          <w:color w:val="000000" w:themeColor="text1"/>
          <w:szCs w:val="28"/>
        </w:rPr>
        <w:t xml:space="preserve">цели</w:t>
      </w:r>
      <w:r>
        <w:rPr>
          <w:rFonts w:ascii="PT Astra Serif" w:hAnsi="PT Astra Serif"/>
          <w:color w:val="000000" w:themeColor="text1"/>
          <w:szCs w:val="28"/>
        </w:rPr>
        <w:t xml:space="preserve">.</w:t>
      </w:r>
      <w:r>
        <w:rPr>
          <w:rFonts w:ascii="PT Astra Serif" w:hAnsi="PT Astra Serif" w:eastAsia="Calibri"/>
          <w:bCs/>
          <w:color w:val="000000" w:themeColor="text1"/>
          <w:szCs w:val="28"/>
          <w:lang w:eastAsia="en-US"/>
        </w:rPr>
        <w:t xml:space="preserve"> </w:t>
      </w:r>
      <w:r>
        <w:rPr>
          <w:rFonts w:ascii="PT Astra Serif" w:hAnsi="PT Astra Serif"/>
          <w:strike/>
          <w:color w:val="000000" w:themeColor="text1"/>
          <w:szCs w:val="28"/>
        </w:rPr>
      </w:r>
    </w:p>
    <w:p>
      <w:pPr>
        <w:pStyle w:val="774"/>
        <w:numPr>
          <w:ilvl w:val="0"/>
          <w:numId w:val="1"/>
        </w:numPr>
        <w:ind w:left="0"/>
        <w:jc w:val="both"/>
        <w:spacing w:after="0"/>
        <w:tabs>
          <w:tab w:val="clear" w:pos="954" w:leader="none"/>
          <w:tab w:val="num" w:pos="993" w:leader="none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color w:val="ff0000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Предложить органам местного самоуправления:</w:t>
      </w:r>
      <w:r>
        <w:rPr>
          <w:rFonts w:ascii="PT Astra Serif" w:hAnsi="PT Astra Serif"/>
          <w:szCs w:val="28"/>
        </w:rPr>
      </w:r>
    </w:p>
    <w:p>
      <w:pPr>
        <w:pStyle w:val="774"/>
        <w:numPr>
          <w:ilvl w:val="1"/>
          <w:numId w:val="1"/>
        </w:numPr>
        <w:jc w:val="both"/>
        <w:spacing w:after="0"/>
        <w:rPr>
          <w:rFonts w:ascii="PT Astra Serif" w:hAnsi="PT Astra Serif"/>
          <w:strike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обеспечить формирование местных бюджетов на основе реалистичного прогноза поступления налоговых и неналоговых доходов </w:t>
      </w:r>
      <w:r>
        <w:rPr>
          <w:rFonts w:ascii="PT Astra Serif" w:hAnsi="PT Astra Serif"/>
          <w:color w:val="000000" w:themeColor="text1"/>
          <w:szCs w:val="28"/>
        </w:rPr>
        <w:br/>
      </w:r>
      <w:r>
        <w:rPr>
          <w:rFonts w:ascii="PT Astra Serif" w:hAnsi="PT Astra Serif"/>
          <w:color w:val="000000" w:themeColor="text1"/>
          <w:szCs w:val="28"/>
        </w:rPr>
        <w:t xml:space="preserve">с учетом обеспечения сбалансированности </w:t>
      </w:r>
      <w:r>
        <w:rPr>
          <w:rFonts w:ascii="PT Astra Serif" w:hAnsi="PT Astra Serif"/>
          <w:color w:val="000000" w:themeColor="text1"/>
          <w:szCs w:val="28"/>
        </w:rPr>
        <w:t xml:space="preserve">бюдже</w:t>
      </w:r>
      <w:r>
        <w:rPr>
          <w:rFonts w:ascii="PT Astra Serif" w:hAnsi="PT Astra Serif"/>
          <w:color w:val="000000" w:themeColor="text1"/>
          <w:szCs w:val="28"/>
        </w:rPr>
        <w:t xml:space="preserve">тов</w:t>
      </w:r>
      <w:r>
        <w:rPr>
          <w:rFonts w:ascii="PT Astra Serif" w:hAnsi="PT Astra Serif"/>
          <w:color w:val="000000" w:themeColor="text1"/>
          <w:szCs w:val="28"/>
        </w:rPr>
        <w:t xml:space="preserve">, осуществлять </w:t>
      </w:r>
      <w:r>
        <w:rPr>
          <w:color w:val="000000" w:themeColor="text1"/>
          <w:szCs w:val="28"/>
        </w:rPr>
        <w:t xml:space="preserve">приоритизацию расходов бюджетов муниципальных образований</w:t>
      </w:r>
      <w:r>
        <w:rPr>
          <w:rFonts w:ascii="PT Astra Serif" w:hAnsi="PT Astra Serif"/>
          <w:color w:val="000000" w:themeColor="text1"/>
          <w:szCs w:val="28"/>
        </w:rPr>
        <w:t xml:space="preserve">;</w:t>
      </w:r>
      <w:r>
        <w:rPr>
          <w:rFonts w:ascii="PT Astra Serif" w:hAnsi="PT Astra Serif"/>
          <w:color w:val="000000" w:themeColor="text1"/>
          <w:szCs w:val="28"/>
        </w:rPr>
        <w:t xml:space="preserve"> </w:t>
      </w:r>
      <w:r>
        <w:rPr>
          <w:rFonts w:ascii="PT Astra Serif" w:hAnsi="PT Astra Serif"/>
          <w:strike/>
          <w:color w:val="000000" w:themeColor="text1"/>
          <w:szCs w:val="28"/>
        </w:rPr>
      </w:r>
    </w:p>
    <w:p>
      <w:pPr>
        <w:pStyle w:val="774"/>
        <w:numPr>
          <w:ilvl w:val="1"/>
          <w:numId w:val="1"/>
        </w:numPr>
        <w:jc w:val="both"/>
        <w:spacing w:after="0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осуществлять реализацию полномочий по решению вопросов местного значения с учетом необходимости выполнения обязательств, предусмотренных соглашением о мерах по социально-экономическому развитию и оздоровлению муниципальных финансов;</w:t>
      </w: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774"/>
        <w:numPr>
          <w:ilvl w:val="1"/>
          <w:numId w:val="1"/>
        </w:numPr>
        <w:jc w:val="both"/>
        <w:spacing w:after="0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обеспечить выплату заработной платы не ниже</w:t>
      </w:r>
      <w:r>
        <w:rPr>
          <w:rFonts w:ascii="PT Astra Serif" w:hAnsi="PT Astra Serif"/>
          <w:color w:val="000000" w:themeColor="text1"/>
          <w:szCs w:val="28"/>
        </w:rPr>
        <w:t xml:space="preserve"> величины</w:t>
      </w:r>
      <w:r>
        <w:rPr>
          <w:rFonts w:ascii="PT Astra Serif" w:hAnsi="PT Astra Serif"/>
          <w:color w:val="000000" w:themeColor="text1"/>
          <w:szCs w:val="28"/>
        </w:rPr>
        <w:t xml:space="preserve"> минимального размера оплаты труда</w:t>
      </w:r>
      <w:r>
        <w:rPr>
          <w:rFonts w:ascii="PT Astra Serif" w:hAnsi="PT Astra Serif"/>
          <w:color w:val="000000" w:themeColor="text1"/>
          <w:szCs w:val="28"/>
        </w:rPr>
        <w:t xml:space="preserve">,</w:t>
      </w:r>
      <w:r>
        <w:rPr>
          <w:rFonts w:ascii="PT Astra Serif" w:hAnsi="PT Astra Serif"/>
          <w:color w:val="000000" w:themeColor="text1"/>
          <w:szCs w:val="28"/>
        </w:rPr>
        <w:t xml:space="preserve"> </w:t>
      </w:r>
      <w:r>
        <w:rPr>
          <w:rFonts w:ascii="PT Astra Serif" w:hAnsi="PT Astra Serif"/>
          <w:color w:val="000000" w:themeColor="text1"/>
          <w:szCs w:val="28"/>
        </w:rPr>
        <w:t xml:space="preserve">установленного Федеральным законом от 19 июня 2000 года № 82-ФЗ «О минимальном размере оплаты труда</w:t>
      </w:r>
      <w:r>
        <w:rPr>
          <w:rFonts w:ascii="PT Astra Serif" w:hAnsi="PT Astra Serif"/>
          <w:color w:val="000000" w:themeColor="text1"/>
          <w:szCs w:val="28"/>
        </w:rPr>
        <w:t xml:space="preserve">»</w:t>
      </w:r>
      <w:r>
        <w:rPr>
          <w:rFonts w:ascii="PT Astra Serif" w:hAnsi="PT Astra Serif"/>
          <w:color w:val="000000" w:themeColor="text1"/>
          <w:szCs w:val="28"/>
        </w:rPr>
        <w:t xml:space="preserve">. </w:t>
      </w:r>
      <w:r>
        <w:rPr>
          <w:rFonts w:ascii="PT Astra Serif" w:hAnsi="PT Astra Serif"/>
          <w:color w:val="000000" w:themeColor="text1"/>
          <w:szCs w:val="28"/>
        </w:rPr>
        <w:t xml:space="preserve">При ф</w:t>
      </w:r>
      <w:r>
        <w:rPr>
          <w:rFonts w:ascii="PT Astra Serif" w:hAnsi="PT Astra Serif"/>
          <w:color w:val="000000" w:themeColor="text1"/>
          <w:szCs w:val="28"/>
        </w:rPr>
        <w:t xml:space="preserve">ормировани</w:t>
      </w:r>
      <w:r>
        <w:rPr>
          <w:rFonts w:ascii="PT Astra Serif" w:hAnsi="PT Astra Serif"/>
          <w:color w:val="000000" w:themeColor="text1"/>
          <w:szCs w:val="28"/>
        </w:rPr>
        <w:t xml:space="preserve">и</w:t>
      </w:r>
      <w:r>
        <w:rPr>
          <w:rFonts w:ascii="PT Astra Serif" w:hAnsi="PT Astra Serif"/>
          <w:color w:val="000000" w:themeColor="text1"/>
          <w:szCs w:val="28"/>
        </w:rPr>
        <w:t xml:space="preserve"> местн</w:t>
      </w:r>
      <w:r>
        <w:rPr>
          <w:rFonts w:ascii="PT Astra Serif" w:hAnsi="PT Astra Serif"/>
          <w:color w:val="000000" w:themeColor="text1"/>
          <w:szCs w:val="28"/>
        </w:rPr>
        <w:t xml:space="preserve">ых</w:t>
      </w:r>
      <w:r>
        <w:rPr>
          <w:rFonts w:ascii="PT Astra Serif" w:hAnsi="PT Astra Serif"/>
          <w:color w:val="000000" w:themeColor="text1"/>
          <w:szCs w:val="28"/>
        </w:rPr>
        <w:t xml:space="preserve"> бюджет</w:t>
      </w:r>
      <w:r>
        <w:rPr>
          <w:rFonts w:ascii="PT Astra Serif" w:hAnsi="PT Astra Serif"/>
          <w:color w:val="000000" w:themeColor="text1"/>
          <w:szCs w:val="28"/>
        </w:rPr>
        <w:t xml:space="preserve">ов</w:t>
      </w:r>
      <w:r>
        <w:rPr>
          <w:rFonts w:ascii="PT Astra Serif" w:hAnsi="PT Astra Serif"/>
          <w:color w:val="000000" w:themeColor="text1"/>
          <w:szCs w:val="28"/>
        </w:rPr>
        <w:t xml:space="preserve"> обеспеч</w:t>
      </w:r>
      <w:r>
        <w:rPr>
          <w:rFonts w:ascii="PT Astra Serif" w:hAnsi="PT Astra Serif"/>
          <w:color w:val="000000" w:themeColor="text1"/>
          <w:szCs w:val="28"/>
        </w:rPr>
        <w:t xml:space="preserve">ить</w:t>
      </w:r>
      <w:r>
        <w:rPr>
          <w:rFonts w:ascii="PT Astra Serif" w:hAnsi="PT Astra Serif"/>
          <w:color w:val="000000" w:themeColor="text1"/>
          <w:szCs w:val="28"/>
        </w:rPr>
        <w:t xml:space="preserve"> в полном объеме расход</w:t>
      </w:r>
      <w:r>
        <w:rPr>
          <w:rFonts w:ascii="PT Astra Serif" w:hAnsi="PT Astra Serif"/>
          <w:color w:val="000000" w:themeColor="text1"/>
          <w:szCs w:val="28"/>
        </w:rPr>
        <w:t xml:space="preserve">ы</w:t>
      </w:r>
      <w:r>
        <w:rPr>
          <w:rFonts w:ascii="PT Astra Serif" w:hAnsi="PT Astra Serif"/>
          <w:color w:val="000000" w:themeColor="text1"/>
          <w:szCs w:val="28"/>
        </w:rPr>
        <w:t xml:space="preserve"> по выплате заработной платы, уплате в бюджет налога на доходы физических лиц, уплате взносов по обязательному социальному страхованию на выплаты по оп</w:t>
      </w:r>
      <w:r>
        <w:rPr>
          <w:rFonts w:ascii="PT Astra Serif" w:hAnsi="PT Astra Serif"/>
          <w:color w:val="000000" w:themeColor="text1"/>
          <w:szCs w:val="28"/>
        </w:rPr>
        <w:t xml:space="preserve">лате труда работников муниципальных учреждений, достижение целевых показателей повышения оплаты труда педагогических работников учреждений дополнительного образования и работников учреждений культуры, предусмотренных указами Президента Российской Федерации</w:t>
      </w:r>
      <w:r>
        <w:rPr>
          <w:rFonts w:ascii="PT Astra Serif" w:hAnsi="PT Astra Serif"/>
          <w:color w:val="000000" w:themeColor="text1"/>
          <w:szCs w:val="28"/>
        </w:rPr>
        <w:t xml:space="preserve">;</w:t>
      </w:r>
      <w:r>
        <w:rPr>
          <w:rFonts w:ascii="PT Astra Serif" w:hAnsi="PT Astra Serif"/>
          <w:color w:val="000000" w:themeColor="text1"/>
          <w:szCs w:val="28"/>
        </w:rPr>
        <w:t xml:space="preserve"> </w:t>
      </w: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774"/>
        <w:numPr>
          <w:ilvl w:val="1"/>
          <w:numId w:val="1"/>
        </w:numPr>
        <w:jc w:val="both"/>
        <w:spacing w:after="0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принять меры по увеличению объема поступления налогов, сборов и других обязательных платежей, неналоговых доходов, осуществлению мероприятий, препятствующих возникновению задолженности</w:t>
      </w:r>
      <w:r>
        <w:rPr>
          <w:rFonts w:ascii="PT Astra Serif" w:hAnsi="PT Astra Serif"/>
          <w:color w:val="000000" w:themeColor="text1"/>
          <w:szCs w:val="28"/>
        </w:rPr>
        <w:t xml:space="preserve"> (отрицательного сальдо)</w:t>
      </w:r>
      <w:r>
        <w:rPr>
          <w:rFonts w:ascii="PT Astra Serif" w:hAnsi="PT Astra Serif"/>
          <w:color w:val="000000" w:themeColor="text1"/>
          <w:szCs w:val="28"/>
        </w:rPr>
        <w:t xml:space="preserve"> по ним, а также вести претензионно-исковую работу по взысканию задолженности по арендным платежам;</w:t>
      </w: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774"/>
        <w:numPr>
          <w:ilvl w:val="1"/>
          <w:numId w:val="1"/>
        </w:numPr>
        <w:jc w:val="both"/>
        <w:spacing w:after="0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проводить анализ влияния изменений федерального налогового законодательства на поступлени</w:t>
      </w:r>
      <w:r>
        <w:rPr>
          <w:rFonts w:ascii="PT Astra Serif" w:hAnsi="PT Astra Serif"/>
          <w:color w:val="000000" w:themeColor="text1"/>
          <w:szCs w:val="28"/>
        </w:rPr>
        <w:t xml:space="preserve">я по</w:t>
      </w:r>
      <w:r>
        <w:rPr>
          <w:rFonts w:ascii="PT Astra Serif" w:hAnsi="PT Astra Serif"/>
          <w:color w:val="000000" w:themeColor="text1"/>
          <w:szCs w:val="28"/>
        </w:rPr>
        <w:t xml:space="preserve"> упрощенной систем</w:t>
      </w:r>
      <w:r>
        <w:rPr>
          <w:rFonts w:ascii="PT Astra Serif" w:hAnsi="PT Astra Serif"/>
          <w:color w:val="000000" w:themeColor="text1"/>
          <w:szCs w:val="28"/>
        </w:rPr>
        <w:t xml:space="preserve">е</w:t>
      </w:r>
      <w:r>
        <w:rPr>
          <w:rFonts w:ascii="PT Astra Serif" w:hAnsi="PT Astra Serif"/>
          <w:color w:val="000000" w:themeColor="text1"/>
          <w:szCs w:val="28"/>
        </w:rPr>
        <w:t xml:space="preserve"> налогообложения; </w:t>
      </w: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774"/>
        <w:numPr>
          <w:ilvl w:val="1"/>
          <w:numId w:val="1"/>
        </w:numPr>
        <w:jc w:val="both"/>
        <w:spacing w:after="0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продолж</w:t>
      </w:r>
      <w:r>
        <w:rPr>
          <w:rFonts w:ascii="PT Astra Serif" w:hAnsi="PT Astra Serif"/>
          <w:color w:val="000000" w:themeColor="text1"/>
          <w:szCs w:val="28"/>
        </w:rPr>
        <w:t xml:space="preserve">ить работу по введению туристического налога на территориях муниципальных образований Алтайского края и реализации мероприятий, направленных на обеспечение наполнения реестра классифицированных средств размещения, предусмотренного Федеральным законом от 24</w:t>
      </w:r>
      <w:r>
        <w:rPr>
          <w:rFonts w:ascii="PT Astra Serif" w:hAnsi="PT Astra Serif"/>
          <w:color w:val="000000" w:themeColor="text1"/>
          <w:szCs w:val="28"/>
        </w:rPr>
        <w:t xml:space="preserve"> ноября </w:t>
      </w:r>
      <w:r>
        <w:rPr>
          <w:rFonts w:ascii="PT Astra Serif" w:hAnsi="PT Astra Serif"/>
          <w:color w:val="000000" w:themeColor="text1"/>
          <w:szCs w:val="28"/>
        </w:rPr>
        <w:t xml:space="preserve">1996</w:t>
      </w:r>
      <w:r>
        <w:rPr>
          <w:rFonts w:ascii="PT Astra Serif" w:hAnsi="PT Astra Serif"/>
          <w:color w:val="000000" w:themeColor="text1"/>
          <w:szCs w:val="28"/>
        </w:rPr>
        <w:t xml:space="preserve"> года</w:t>
      </w:r>
      <w:r>
        <w:rPr>
          <w:rFonts w:ascii="PT Astra Serif" w:hAnsi="PT Astra Serif"/>
          <w:color w:val="000000" w:themeColor="text1"/>
          <w:szCs w:val="28"/>
        </w:rPr>
        <w:t xml:space="preserve"> №</w:t>
      </w:r>
      <w:r>
        <w:rPr>
          <w:rFonts w:ascii="PT Astra Serif" w:hAnsi="PT Astra Serif"/>
          <w:color w:val="000000" w:themeColor="text1"/>
          <w:szCs w:val="28"/>
        </w:rPr>
        <w:t xml:space="preserve"> </w:t>
      </w:r>
      <w:r>
        <w:rPr>
          <w:rFonts w:ascii="PT Astra Serif" w:hAnsi="PT Astra Serif"/>
          <w:color w:val="000000" w:themeColor="text1"/>
          <w:szCs w:val="28"/>
        </w:rPr>
        <w:t xml:space="preserve">132-ФЗ «Об основах туристской деятельности в Российской Федерации»; </w:t>
      </w: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774"/>
        <w:numPr>
          <w:ilvl w:val="1"/>
          <w:numId w:val="1"/>
        </w:numPr>
        <w:jc w:val="both"/>
        <w:spacing w:after="0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szCs w:val="28"/>
        </w:rPr>
        <w:t xml:space="preserve">продолжить работу в соответствии </w:t>
      </w:r>
      <w:r>
        <w:rPr>
          <w:rFonts w:ascii="PT Astra Serif" w:hAnsi="PT Astra Serif"/>
          <w:szCs w:val="28"/>
          <w:lang w:val="en-US"/>
        </w:rPr>
        <w:t xml:space="preserve">c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 w:cs="PT Astra Serif" w:eastAsiaTheme="minorHAnsi"/>
          <w:szCs w:val="28"/>
          <w:lang w:eastAsia="en-US"/>
        </w:rPr>
        <w:t xml:space="preserve">Федеральным </w:t>
      </w:r>
      <w:r>
        <w:rPr>
          <w:rFonts w:ascii="PT Astra Serif" w:hAnsi="PT Astra Serif" w:cs="PT Astra Serif" w:eastAsiaTheme="minorHAnsi"/>
          <w:szCs w:val="28"/>
          <w:lang w:eastAsia="en-US"/>
        </w:rPr>
        <w:t xml:space="preserve">законом от 24</w:t>
      </w:r>
      <w:r>
        <w:rPr>
          <w:rFonts w:ascii="PT Astra Serif" w:hAnsi="PT Astra Serif" w:cs="PT Astra Serif" w:eastAsiaTheme="minorHAnsi"/>
          <w:szCs w:val="28"/>
          <w:lang w:eastAsia="en-US"/>
        </w:rPr>
        <w:t xml:space="preserve"> </w:t>
      </w:r>
      <w:r>
        <w:rPr>
          <w:rFonts w:ascii="PT Astra Serif" w:hAnsi="PT Astra Serif" w:cs="PT Astra Serif" w:eastAsiaTheme="minorHAnsi"/>
          <w:szCs w:val="28"/>
          <w:lang w:eastAsia="en-US"/>
        </w:rPr>
        <w:t xml:space="preserve">июля</w:t>
      </w:r>
      <w:r>
        <w:rPr>
          <w:rFonts w:ascii="PT Astra Serif" w:hAnsi="PT Astra Serif" w:cs="PT Astra Serif" w:eastAsiaTheme="minorHAnsi"/>
          <w:szCs w:val="28"/>
          <w:lang w:eastAsia="en-US"/>
        </w:rPr>
        <w:t xml:space="preserve"> </w:t>
      </w:r>
      <w:r>
        <w:rPr>
          <w:rFonts w:ascii="PT Astra Serif" w:hAnsi="PT Astra Serif" w:cs="PT Astra Serif" w:eastAsiaTheme="minorHAnsi"/>
          <w:szCs w:val="28"/>
          <w:lang w:eastAsia="en-US"/>
        </w:rPr>
        <w:t xml:space="preserve">2002</w:t>
      </w:r>
      <w:r>
        <w:rPr>
          <w:rFonts w:ascii="PT Astra Serif" w:hAnsi="PT Astra Serif" w:cs="PT Astra Serif" w:eastAsiaTheme="minorHAnsi"/>
          <w:szCs w:val="28"/>
          <w:lang w:eastAsia="en-US"/>
        </w:rPr>
        <w:t xml:space="preserve"> года</w:t>
      </w:r>
      <w:r>
        <w:rPr>
          <w:rFonts w:ascii="PT Astra Serif" w:hAnsi="PT Astra Serif" w:cs="PT Astra Serif" w:eastAsiaTheme="minorHAnsi"/>
          <w:szCs w:val="28"/>
          <w:lang w:eastAsia="en-US"/>
        </w:rPr>
        <w:t xml:space="preserve"> №</w:t>
      </w:r>
      <w:r>
        <w:rPr>
          <w:rFonts w:ascii="PT Astra Serif" w:hAnsi="PT Astra Serif" w:cs="PT Astra Serif" w:eastAsiaTheme="minorHAnsi"/>
          <w:szCs w:val="28"/>
          <w:lang w:val="en-US" w:eastAsia="en-US"/>
        </w:rPr>
        <w:t xml:space="preserve"> </w:t>
      </w:r>
      <w:r>
        <w:rPr>
          <w:rFonts w:ascii="PT Astra Serif" w:hAnsi="PT Astra Serif" w:cs="PT Astra Serif" w:eastAsiaTheme="minorHAnsi"/>
          <w:szCs w:val="28"/>
          <w:lang w:eastAsia="en-US"/>
        </w:rPr>
        <w:t xml:space="preserve">101-ФЗ «Об обороте земель сельскохозяйственного</w:t>
      </w:r>
      <w:r>
        <w:rPr>
          <w:rFonts w:ascii="PT Astra Serif" w:hAnsi="PT Astra Serif" w:cs="PT Astra Serif" w:eastAsiaTheme="minorHAnsi"/>
          <w:szCs w:val="28"/>
          <w:lang w:eastAsia="en-US"/>
        </w:rPr>
        <w:t xml:space="preserve"> назначения» по определению </w:t>
      </w:r>
      <w:r>
        <w:rPr>
          <w:rFonts w:ascii="PT Astra Serif" w:hAnsi="PT Astra Serif" w:cs="PT Astra Serif" w:eastAsiaTheme="minorHAnsi"/>
          <w:szCs w:val="28"/>
          <w:lang w:eastAsia="en-US"/>
        </w:rPr>
        <w:t xml:space="preserve">размеров земельных долей</w:t>
      </w:r>
      <w:bookmarkStart w:id="0" w:name="_GoBack"/>
      <w:r/>
      <w:bookmarkEnd w:id="0"/>
      <w:r>
        <w:rPr>
          <w:rFonts w:ascii="PT Astra Serif" w:hAnsi="PT Astra Serif" w:cs="PT Astra Serif" w:eastAsiaTheme="minorHAnsi"/>
          <w:szCs w:val="28"/>
          <w:lang w:eastAsia="en-US"/>
        </w:rPr>
        <w:t xml:space="preserve">, обеспечить внесение изменений в сведения, содержащиеся в Едином государственном реестре недвижимости</w:t>
      </w:r>
      <w:r>
        <w:rPr>
          <w:rFonts w:ascii="PT Astra Serif" w:hAnsi="PT Astra Serif" w:cs="PT Astra Serif" w:eastAsiaTheme="minorHAnsi"/>
          <w:color w:val="000000" w:themeColor="text1"/>
          <w:szCs w:val="28"/>
          <w:lang w:eastAsia="en-US"/>
        </w:rPr>
        <w:t xml:space="preserve">;</w:t>
      </w:r>
      <w:r>
        <w:rPr>
          <w:rFonts w:ascii="PT Astra Serif" w:hAnsi="PT Astra Serif"/>
          <w:color w:val="000000" w:themeColor="text1"/>
          <w:szCs w:val="28"/>
        </w:rPr>
        <w:t xml:space="preserve"> </w:t>
      </w: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774"/>
        <w:numPr>
          <w:ilvl w:val="1"/>
          <w:numId w:val="1"/>
        </w:numPr>
        <w:jc w:val="both"/>
        <w:spacing w:after="0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рас</w:t>
      </w:r>
      <w:r>
        <w:rPr>
          <w:rFonts w:ascii="PT Astra Serif" w:hAnsi="PT Astra Serif"/>
          <w:color w:val="000000" w:themeColor="text1"/>
          <w:szCs w:val="28"/>
        </w:rPr>
        <w:t xml:space="preserve">смотреть вопрос установления эффективных ставок арендной платы за земли сельскохозяйственного назначения с учетом принципа экономической обоснованности, осуществлять передачу в аренду земельных участков в соответствии с порядком, установленным действующим </w:t>
      </w:r>
      <w:r>
        <w:rPr>
          <w:rFonts w:ascii="PT Astra Serif" w:hAnsi="PT Astra Serif"/>
          <w:color w:val="000000" w:themeColor="text1"/>
          <w:szCs w:val="28"/>
        </w:rPr>
        <w:t xml:space="preserve">законодательством, через проведение аукционов по продаже права аренды на земельные участки;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774"/>
        <w:numPr>
          <w:ilvl w:val="1"/>
          <w:numId w:val="1"/>
        </w:numPr>
        <w:jc w:val="both"/>
        <w:spacing w:after="0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обеспечивать необходимое участие в реализации новых </w:t>
      </w:r>
      <w:r>
        <w:rPr>
          <w:rFonts w:ascii="PT Astra Serif" w:hAnsi="PT Astra Serif"/>
          <w:color w:val="000000" w:themeColor="text1"/>
          <w:szCs w:val="28"/>
        </w:rPr>
        <w:t xml:space="preserve">национальных проект</w:t>
      </w:r>
      <w:r>
        <w:rPr>
          <w:rFonts w:ascii="PT Astra Serif" w:hAnsi="PT Astra Serif"/>
          <w:color w:val="000000" w:themeColor="text1"/>
          <w:szCs w:val="28"/>
        </w:rPr>
        <w:t xml:space="preserve">ов</w:t>
      </w:r>
      <w:r>
        <w:rPr>
          <w:rFonts w:ascii="PT Astra Serif" w:hAnsi="PT Astra Serif"/>
          <w:color w:val="000000" w:themeColor="text1"/>
          <w:szCs w:val="28"/>
        </w:rPr>
        <w:t xml:space="preserve"> (программ)</w:t>
      </w:r>
      <w:r>
        <w:rPr>
          <w:rFonts w:ascii="PT Astra Serif" w:hAnsi="PT Astra Serif"/>
          <w:color w:val="000000" w:themeColor="text1"/>
          <w:szCs w:val="28"/>
        </w:rPr>
        <w:t xml:space="preserve">, разработанных на 2025 - 2030 годы,</w:t>
      </w:r>
      <w:r>
        <w:rPr>
          <w:rFonts w:ascii="PT Astra Serif" w:hAnsi="PT Astra Serif"/>
          <w:color w:val="000000" w:themeColor="text1"/>
          <w:szCs w:val="28"/>
        </w:rPr>
        <w:t xml:space="preserve"> </w:t>
      </w:r>
      <w:r>
        <w:rPr>
          <w:rFonts w:ascii="PT Astra Serif" w:hAnsi="PT Astra Serif"/>
          <w:color w:val="000000" w:themeColor="text1"/>
          <w:szCs w:val="28"/>
        </w:rPr>
        <w:t xml:space="preserve">государственных</w:t>
      </w:r>
      <w:r>
        <w:rPr>
          <w:rFonts w:ascii="PT Astra Serif" w:hAnsi="PT Astra Serif"/>
          <w:color w:val="000000" w:themeColor="text1"/>
          <w:szCs w:val="28"/>
        </w:rPr>
        <w:t xml:space="preserve"> </w:t>
      </w:r>
      <w:r>
        <w:rPr>
          <w:rFonts w:ascii="PT Astra Serif" w:hAnsi="PT Astra Serif"/>
          <w:color w:val="000000" w:themeColor="text1"/>
          <w:szCs w:val="28"/>
        </w:rPr>
        <w:t xml:space="preserve">программ</w:t>
      </w:r>
      <w:r>
        <w:rPr>
          <w:rFonts w:ascii="PT Astra Serif" w:hAnsi="PT Astra Serif"/>
          <w:color w:val="000000" w:themeColor="text1"/>
          <w:szCs w:val="28"/>
        </w:rPr>
        <w:t xml:space="preserve"> Алтайского края</w:t>
      </w:r>
      <w:r>
        <w:rPr>
          <w:rFonts w:ascii="PT Astra Serif" w:hAnsi="PT Astra Serif"/>
          <w:color w:val="000000" w:themeColor="text1"/>
          <w:szCs w:val="28"/>
        </w:rPr>
        <w:t xml:space="preserve">, осуществлять отбор мероприяти</w:t>
      </w:r>
      <w:r>
        <w:rPr>
          <w:rFonts w:ascii="PT Astra Serif" w:hAnsi="PT Astra Serif"/>
          <w:color w:val="000000" w:themeColor="text1"/>
          <w:szCs w:val="28"/>
        </w:rPr>
        <w:t xml:space="preserve">й</w:t>
      </w:r>
      <w:r>
        <w:rPr>
          <w:rFonts w:ascii="PT Astra Serif" w:hAnsi="PT Astra Serif"/>
          <w:color w:val="000000" w:themeColor="text1"/>
          <w:szCs w:val="28"/>
        </w:rPr>
        <w:t xml:space="preserve">, планируем</w:t>
      </w:r>
      <w:r>
        <w:rPr>
          <w:rFonts w:ascii="PT Astra Serif" w:hAnsi="PT Astra Serif"/>
          <w:color w:val="000000" w:themeColor="text1"/>
          <w:szCs w:val="28"/>
        </w:rPr>
        <w:t xml:space="preserve">ых</w:t>
      </w:r>
      <w:r>
        <w:rPr>
          <w:rFonts w:ascii="PT Astra Serif" w:hAnsi="PT Astra Serif"/>
          <w:color w:val="000000" w:themeColor="text1"/>
          <w:szCs w:val="28"/>
        </w:rPr>
        <w:t xml:space="preserve"> к реализации</w:t>
      </w:r>
      <w:r>
        <w:rPr>
          <w:rFonts w:ascii="PT Astra Serif" w:hAnsi="PT Astra Serif"/>
          <w:color w:val="000000" w:themeColor="text1"/>
          <w:szCs w:val="28"/>
        </w:rPr>
        <w:t xml:space="preserve">,</w:t>
      </w:r>
      <w:r>
        <w:rPr>
          <w:rFonts w:ascii="PT Astra Serif" w:hAnsi="PT Astra Serif"/>
          <w:color w:val="000000" w:themeColor="text1"/>
          <w:szCs w:val="28"/>
        </w:rPr>
        <w:t xml:space="preserve"> с учетом мнения и потребностей населения;</w:t>
      </w:r>
      <w:r>
        <w:rPr>
          <w:rFonts w:ascii="PT Astra Serif" w:hAnsi="PT Astra Serif"/>
          <w:color w:val="000000" w:themeColor="text1"/>
          <w:szCs w:val="28"/>
        </w:rPr>
        <w:t xml:space="preserve"> </w:t>
      </w: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774"/>
        <w:numPr>
          <w:ilvl w:val="1"/>
          <w:numId w:val="1"/>
        </w:numPr>
        <w:jc w:val="both"/>
        <w:spacing w:after="0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 </w:t>
      </w:r>
      <w:r>
        <w:rPr>
          <w:rFonts w:ascii="PT Astra Serif" w:hAnsi="PT Astra Serif"/>
          <w:color w:val="000000" w:themeColor="text1"/>
          <w:szCs w:val="28"/>
        </w:rPr>
        <w:t xml:space="preserve">осуществлять информирование граждан о реализации региональных проектов, входящих в состав национальных проектов, в том числе </w:t>
      </w:r>
      <w:r>
        <w:rPr>
          <w:rFonts w:ascii="PT Astra Serif" w:hAnsi="PT Astra Serif"/>
          <w:color w:val="000000" w:themeColor="text1"/>
          <w:szCs w:val="28"/>
        </w:rPr>
        <w:br/>
        <w:t xml:space="preserve">о планируемых к созданию и созданных объектах на территории муниципального образования</w:t>
      </w:r>
      <w:r>
        <w:rPr>
          <w:rFonts w:ascii="PT Astra Serif" w:hAnsi="PT Astra Serif"/>
          <w:color w:val="000000" w:themeColor="text1"/>
          <w:szCs w:val="28"/>
        </w:rPr>
        <w:t xml:space="preserve">;</w:t>
      </w: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774"/>
        <w:numPr>
          <w:ilvl w:val="1"/>
          <w:numId w:val="1"/>
        </w:numPr>
        <w:jc w:val="both"/>
        <w:spacing w:after="0"/>
        <w:rPr>
          <w:rFonts w:ascii="PT Astra Serif" w:hAnsi="PT Astra Serif"/>
          <w:strike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 </w:t>
      </w:r>
      <w:r>
        <w:rPr>
          <w:rFonts w:ascii="PT Astra Serif" w:hAnsi="PT Astra Serif"/>
          <w:color w:val="000000" w:themeColor="text1"/>
          <w:szCs w:val="28"/>
        </w:rPr>
        <w:t xml:space="preserve">не принимать решений, приводящих к увеличению численности работников органов местного самоуправления, работников муниципальных учреждений и других организаций бюджетной сферы.</w:t>
      </w:r>
      <w:r>
        <w:rPr>
          <w:rFonts w:ascii="PT Astra Serif" w:hAnsi="PT Astra Serif"/>
          <w:strike/>
          <w:color w:val="000000" w:themeColor="text1"/>
          <w:szCs w:val="28"/>
        </w:rPr>
      </w:r>
    </w:p>
    <w:p>
      <w:pPr>
        <w:pStyle w:val="774"/>
        <w:numPr>
          <w:ilvl w:val="0"/>
          <w:numId w:val="1"/>
        </w:numPr>
        <w:ind w:left="0"/>
        <w:jc w:val="both"/>
        <w:spacing w:after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Контроль за исполнением настоящего постановления возложить</w:t>
      </w:r>
      <w:r>
        <w:rPr>
          <w:rFonts w:ascii="PT Astra Serif" w:hAnsi="PT Astra Serif"/>
          <w:szCs w:val="28"/>
        </w:rPr>
        <w:br/>
        <w:t xml:space="preserve">на </w:t>
      </w:r>
      <w:r>
        <w:rPr>
          <w:rFonts w:ascii="PT Astra Serif" w:hAnsi="PT Astra Serif"/>
          <w:szCs w:val="28"/>
        </w:rPr>
        <w:t xml:space="preserve">постоянный </w:t>
      </w:r>
      <w:r>
        <w:rPr>
          <w:rFonts w:ascii="PT Astra Serif" w:hAnsi="PT Astra Serif"/>
          <w:szCs w:val="28"/>
        </w:rPr>
        <w:t xml:space="preserve">комитет Алтайского краевого Законодательного Собрания </w:t>
      </w:r>
      <w:r>
        <w:rPr>
          <w:rFonts w:ascii="PT Astra Serif" w:hAnsi="PT Astra Serif"/>
          <w:szCs w:val="28"/>
        </w:rPr>
        <w:br/>
      </w:r>
      <w:r>
        <w:rPr>
          <w:rFonts w:ascii="PT Astra Serif" w:hAnsi="PT Astra Serif"/>
          <w:szCs w:val="28"/>
        </w:rPr>
        <w:t xml:space="preserve">по бюджет</w:t>
      </w:r>
      <w:r>
        <w:rPr>
          <w:rFonts w:ascii="PT Astra Serif" w:hAnsi="PT Astra Serif"/>
          <w:szCs w:val="28"/>
        </w:rPr>
        <w:t xml:space="preserve">ной, налоговой, экономической политике и имущественным отношениям</w:t>
      </w:r>
      <w:r>
        <w:rPr>
          <w:rFonts w:ascii="PT Astra Serif" w:hAnsi="PT Astra Serif"/>
          <w:szCs w:val="28"/>
        </w:rPr>
        <w:t xml:space="preserve">.</w:t>
      </w:r>
      <w:r>
        <w:rPr>
          <w:rFonts w:ascii="PT Astra Serif" w:hAnsi="PT Astra Serif"/>
          <w:szCs w:val="28"/>
        </w:rPr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tbl>
      <w:tblPr>
        <w:tblStyle w:val="763"/>
        <w:tblpPr w:horzAnchor="margin" w:tblpXSpec="left" w:vertAnchor="text" w:tblpY="355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>
        <w:tblPrEx/>
        <w:trPr/>
        <w:tc>
          <w:tcPr>
            <w:tcW w:w="6521" w:type="dxa"/>
            <w:textDirection w:val="lrTb"/>
            <w:noWrap w:val="false"/>
          </w:tcPr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/>
                <w:szCs w:val="28"/>
              </w:rPr>
            </w:r>
          </w:p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3226" w:type="dxa"/>
            <w:vAlign w:val="bottom"/>
            <w:textDirection w:val="lrTb"/>
            <w:noWrap w:val="false"/>
          </w:tcPr>
          <w:p>
            <w:pPr>
              <w:ind w:right="-91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А.А. Романенко</w:t>
            </w:r>
            <w:r>
              <w:rPr>
                <w:rFonts w:ascii="PT Astra Serif" w:hAnsi="PT Astra Serif"/>
                <w:szCs w:val="28"/>
              </w:rPr>
            </w:r>
          </w:p>
        </w:tc>
      </w:tr>
    </w:tbl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76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2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</w:p>
  <w:tbl>
    <w:tblPr>
      <w:tblStyle w:val="763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blPrEx/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152" w:firstLine="720"/>
        <w:tabs>
          <w:tab w:val="num" w:pos="954" w:leader="none"/>
        </w:tabs>
      </w:pPr>
      <w:rPr>
        <w:rFonts w:hint="default" w:ascii="Times New Roman" w:hAnsi="Times New Roman" w:cs="Times New Roman"/>
        <w:strike w:val="0"/>
        <w:color w:val="auto"/>
        <w:sz w:val="28"/>
        <w:szCs w:val="28"/>
      </w:rPr>
    </w:lvl>
    <w:lvl w:ilvl="1">
      <w:start w:val="1"/>
      <w:numFmt w:val="decimal"/>
      <w:isLgl w:val="false"/>
      <w:suff w:val="tab"/>
      <w:lvlText w:val="%2)"/>
      <w:lvlJc w:val="left"/>
      <w:pPr>
        <w:ind w:firstLine="720"/>
        <w:tabs>
          <w:tab w:val="num" w:pos="1104" w:leader="none"/>
        </w:tabs>
      </w:pPr>
      <w:rPr>
        <w:rFonts w:hint="default" w:ascii="Times New Roman" w:hAnsi="Times New Roman" w:cs="Times New Roman"/>
        <w:b w:val="0"/>
        <w:i w:val="0"/>
        <w:strike w:val="0"/>
        <w:sz w:val="28"/>
        <w:szCs w:val="28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num" w:pos="1440" w:leader="none"/>
        </w:tabs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56"/>
    <w:next w:val="75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5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9"/>
    <w:link w:val="75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56"/>
    <w:next w:val="75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5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6"/>
    <w:next w:val="75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59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59"/>
    <w:link w:val="758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6"/>
    <w:next w:val="75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5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6"/>
    <w:next w:val="75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6"/>
    <w:next w:val="75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6"/>
    <w:next w:val="75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56"/>
    <w:next w:val="75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59"/>
    <w:link w:val="34"/>
    <w:uiPriority w:val="10"/>
    <w:rPr>
      <w:sz w:val="48"/>
      <w:szCs w:val="48"/>
    </w:rPr>
  </w:style>
  <w:style w:type="paragraph" w:styleId="36">
    <w:name w:val="Subtitle"/>
    <w:basedOn w:val="756"/>
    <w:next w:val="75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59"/>
    <w:link w:val="36"/>
    <w:uiPriority w:val="11"/>
    <w:rPr>
      <w:sz w:val="24"/>
      <w:szCs w:val="24"/>
    </w:rPr>
  </w:style>
  <w:style w:type="paragraph" w:styleId="38">
    <w:name w:val="Quote"/>
    <w:basedOn w:val="756"/>
    <w:next w:val="75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6"/>
    <w:next w:val="75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9"/>
    <w:link w:val="764"/>
    <w:uiPriority w:val="99"/>
  </w:style>
  <w:style w:type="character" w:styleId="45">
    <w:name w:val="Footer Char"/>
    <w:basedOn w:val="759"/>
    <w:link w:val="766"/>
    <w:uiPriority w:val="99"/>
  </w:style>
  <w:style w:type="paragraph" w:styleId="46">
    <w:name w:val="Caption"/>
    <w:basedOn w:val="756"/>
    <w:next w:val="7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6"/>
    <w:uiPriority w:val="99"/>
  </w:style>
  <w:style w:type="table" w:styleId="49">
    <w:name w:val="Table Grid Light"/>
    <w:basedOn w:val="7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5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59"/>
    <w:uiPriority w:val="99"/>
    <w:unhideWhenUsed/>
    <w:rPr>
      <w:vertAlign w:val="superscript"/>
    </w:rPr>
  </w:style>
  <w:style w:type="paragraph" w:styleId="178">
    <w:name w:val="endnote text"/>
    <w:basedOn w:val="75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9"/>
    <w:uiPriority w:val="99"/>
    <w:semiHidden/>
    <w:unhideWhenUsed/>
    <w:rPr>
      <w:vertAlign w:val="superscript"/>
    </w:rPr>
  </w:style>
  <w:style w:type="paragraph" w:styleId="181">
    <w:name w:val="toc 1"/>
    <w:basedOn w:val="756"/>
    <w:next w:val="75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6"/>
    <w:next w:val="75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6"/>
    <w:next w:val="75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6"/>
    <w:next w:val="75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6"/>
    <w:next w:val="75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6"/>
    <w:next w:val="75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6"/>
    <w:next w:val="75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6"/>
    <w:next w:val="75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6"/>
    <w:next w:val="75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6"/>
    <w:next w:val="756"/>
    <w:uiPriority w:val="99"/>
    <w:unhideWhenUsed/>
    <w:pPr>
      <w:spacing w:after="0" w:afterAutospacing="0"/>
    </w:pPr>
  </w:style>
  <w:style w:type="paragraph" w:styleId="75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57">
    <w:name w:val="Heading 2"/>
    <w:basedOn w:val="756"/>
    <w:next w:val="756"/>
    <w:link w:val="770"/>
    <w:qFormat/>
    <w:pPr>
      <w:jc w:val="center"/>
      <w:keepNext/>
      <w:outlineLvl w:val="1"/>
    </w:pPr>
    <w:rPr>
      <w:b/>
      <w:spacing w:val="80"/>
      <w:sz w:val="36"/>
    </w:rPr>
  </w:style>
  <w:style w:type="paragraph" w:styleId="758">
    <w:name w:val="Heading 5"/>
    <w:basedOn w:val="756"/>
    <w:next w:val="756"/>
    <w:link w:val="762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59" w:default="1">
    <w:name w:val="Default Paragraph Font"/>
    <w:uiPriority w:val="1"/>
    <w:semiHidden/>
    <w:unhideWhenUsed/>
  </w:style>
  <w:style w:type="table" w:styleId="7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1" w:default="1">
    <w:name w:val="No List"/>
    <w:uiPriority w:val="99"/>
    <w:semiHidden/>
    <w:unhideWhenUsed/>
  </w:style>
  <w:style w:type="character" w:styleId="762" w:customStyle="1">
    <w:name w:val="Заголовок 5 Знак"/>
    <w:basedOn w:val="759"/>
    <w:link w:val="758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63">
    <w:name w:val="Table Grid"/>
    <w:basedOn w:val="76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64">
    <w:name w:val="Header"/>
    <w:basedOn w:val="756"/>
    <w:link w:val="7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65" w:customStyle="1">
    <w:name w:val="Верхний колонтитул Знак"/>
    <w:basedOn w:val="759"/>
    <w:link w:val="76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66">
    <w:name w:val="Footer"/>
    <w:basedOn w:val="756"/>
    <w:link w:val="7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67" w:customStyle="1">
    <w:name w:val="Нижний колонтитул Знак"/>
    <w:basedOn w:val="759"/>
    <w:link w:val="76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68">
    <w:name w:val="Balloon Text"/>
    <w:basedOn w:val="756"/>
    <w:link w:val="76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69" w:customStyle="1">
    <w:name w:val="Текст выноски Знак"/>
    <w:basedOn w:val="759"/>
    <w:link w:val="76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70" w:customStyle="1">
    <w:name w:val="Заголовок 2 Знак"/>
    <w:basedOn w:val="759"/>
    <w:link w:val="757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71">
    <w:name w:val="Placeholder Text"/>
    <w:basedOn w:val="759"/>
    <w:uiPriority w:val="99"/>
    <w:semiHidden/>
    <w:rPr>
      <w:color w:val="808080"/>
    </w:rPr>
  </w:style>
  <w:style w:type="paragraph" w:styleId="772">
    <w:name w:val="Plain Text"/>
    <w:basedOn w:val="756"/>
    <w:link w:val="773"/>
    <w:uiPriority w:val="99"/>
    <w:pPr>
      <w:widowControl w:val="off"/>
    </w:pPr>
    <w:rPr>
      <w:rFonts w:ascii="Courier New" w:hAnsi="Courier New" w:cs="Courier New"/>
      <w:sz w:val="20"/>
    </w:rPr>
  </w:style>
  <w:style w:type="character" w:styleId="773" w:customStyle="1">
    <w:name w:val="Текст Знак"/>
    <w:basedOn w:val="759"/>
    <w:link w:val="772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774">
    <w:name w:val="Body Text"/>
    <w:basedOn w:val="756"/>
    <w:link w:val="775"/>
    <w:uiPriority w:val="99"/>
    <w:pPr>
      <w:spacing w:after="120"/>
    </w:pPr>
  </w:style>
  <w:style w:type="character" w:styleId="775" w:customStyle="1">
    <w:name w:val="Основной текст Знак"/>
    <w:basedOn w:val="759"/>
    <w:link w:val="77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76">
    <w:name w:val="List Paragraph"/>
    <w:basedOn w:val="75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99</cp:revision>
  <dcterms:created xsi:type="dcterms:W3CDTF">2018-11-23T09:08:00Z</dcterms:created>
  <dcterms:modified xsi:type="dcterms:W3CDTF">2024-11-22T05:23:30Z</dcterms:modified>
</cp:coreProperties>
</file>